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C78C" w14:textId="77777777" w:rsidR="007570DD" w:rsidRPr="003246BE" w:rsidRDefault="007570DD" w:rsidP="007570DD">
      <w:pPr>
        <w:jc w:val="center"/>
        <w:rPr>
          <w:rFonts w:ascii="Arial" w:hAnsi="Arial" w:cs="Arial"/>
          <w:color w:val="FF0000"/>
          <w:sz w:val="20"/>
          <w:szCs w:val="20"/>
        </w:rPr>
      </w:pPr>
      <w:bookmarkStart w:id="0" w:name="_GoBack"/>
      <w:bookmarkEnd w:id="0"/>
      <w:r w:rsidRPr="003246BE">
        <w:rPr>
          <w:rFonts w:ascii="Arial" w:hAnsi="Arial" w:cs="Arial"/>
          <w:color w:val="FF0000"/>
          <w:sz w:val="20"/>
          <w:szCs w:val="20"/>
        </w:rPr>
        <w:t>INSERT AGENCY HEADER</w:t>
      </w:r>
    </w:p>
    <w:p w14:paraId="64CE1FC5" w14:textId="77777777" w:rsidR="007570DD" w:rsidRPr="003246BE" w:rsidRDefault="007570DD" w:rsidP="007570DD">
      <w:pPr>
        <w:rPr>
          <w:rFonts w:ascii="Arial" w:hAnsi="Arial" w:cs="Arial"/>
          <w:sz w:val="20"/>
          <w:szCs w:val="20"/>
        </w:rPr>
      </w:pPr>
    </w:p>
    <w:p w14:paraId="52A5C792" w14:textId="77777777" w:rsidR="007570DD" w:rsidRPr="003246BE" w:rsidRDefault="007570DD" w:rsidP="007570DD">
      <w:pPr>
        <w:rPr>
          <w:rFonts w:ascii="Arial" w:hAnsi="Arial" w:cs="Arial"/>
          <w:sz w:val="20"/>
          <w:szCs w:val="20"/>
        </w:rPr>
      </w:pPr>
      <w:r w:rsidRPr="003246BE">
        <w:rPr>
          <w:rFonts w:ascii="Arial" w:hAnsi="Arial" w:cs="Arial"/>
          <w:sz w:val="20"/>
          <w:szCs w:val="20"/>
        </w:rPr>
        <w:t>Date</w:t>
      </w:r>
    </w:p>
    <w:p w14:paraId="3CE6014F" w14:textId="77777777" w:rsidR="007570DD" w:rsidRPr="003246BE" w:rsidRDefault="007570DD" w:rsidP="007570DD">
      <w:pPr>
        <w:spacing w:after="0" w:line="240" w:lineRule="auto"/>
        <w:rPr>
          <w:rFonts w:ascii="Arial" w:hAnsi="Arial" w:cs="Arial"/>
          <w:sz w:val="20"/>
          <w:szCs w:val="20"/>
        </w:rPr>
      </w:pPr>
      <w:r w:rsidRPr="003246BE">
        <w:rPr>
          <w:rFonts w:ascii="Arial" w:hAnsi="Arial" w:cs="Arial"/>
          <w:sz w:val="20"/>
          <w:szCs w:val="20"/>
        </w:rPr>
        <w:t>Customer name</w:t>
      </w:r>
    </w:p>
    <w:p w14:paraId="5ECD024C" w14:textId="77777777" w:rsidR="007570DD" w:rsidRPr="003246BE" w:rsidRDefault="007570DD" w:rsidP="007570DD">
      <w:pPr>
        <w:spacing w:after="0" w:line="240" w:lineRule="auto"/>
        <w:rPr>
          <w:rFonts w:ascii="Arial" w:hAnsi="Arial" w:cs="Arial"/>
          <w:sz w:val="20"/>
          <w:szCs w:val="20"/>
        </w:rPr>
      </w:pPr>
      <w:r w:rsidRPr="003246BE">
        <w:rPr>
          <w:rFonts w:ascii="Arial" w:hAnsi="Arial" w:cs="Arial"/>
          <w:sz w:val="20"/>
          <w:szCs w:val="20"/>
        </w:rPr>
        <w:t>Address 1</w:t>
      </w:r>
    </w:p>
    <w:p w14:paraId="79DE0C33" w14:textId="77777777" w:rsidR="007570DD" w:rsidRPr="003246BE" w:rsidRDefault="007570DD" w:rsidP="007570DD">
      <w:pPr>
        <w:spacing w:after="0" w:line="240" w:lineRule="auto"/>
        <w:rPr>
          <w:rFonts w:ascii="Arial" w:hAnsi="Arial" w:cs="Arial"/>
          <w:sz w:val="20"/>
          <w:szCs w:val="20"/>
        </w:rPr>
      </w:pPr>
      <w:r w:rsidRPr="003246BE">
        <w:rPr>
          <w:rFonts w:ascii="Arial" w:hAnsi="Arial" w:cs="Arial"/>
          <w:sz w:val="20"/>
          <w:szCs w:val="20"/>
        </w:rPr>
        <w:t>Address 2</w:t>
      </w:r>
    </w:p>
    <w:p w14:paraId="568704A0" w14:textId="77777777" w:rsidR="007570DD" w:rsidRPr="003246BE" w:rsidRDefault="007570DD" w:rsidP="007570DD">
      <w:pPr>
        <w:spacing w:after="0" w:line="240" w:lineRule="auto"/>
        <w:rPr>
          <w:rFonts w:ascii="Arial" w:hAnsi="Arial" w:cs="Arial"/>
          <w:sz w:val="20"/>
          <w:szCs w:val="20"/>
        </w:rPr>
      </w:pPr>
      <w:r w:rsidRPr="003246BE">
        <w:rPr>
          <w:rFonts w:ascii="Arial" w:hAnsi="Arial" w:cs="Arial"/>
          <w:sz w:val="20"/>
          <w:szCs w:val="20"/>
        </w:rPr>
        <w:t>City, Zip, State</w:t>
      </w:r>
    </w:p>
    <w:p w14:paraId="14C950F5" w14:textId="77777777" w:rsidR="007570DD" w:rsidRPr="003246BE" w:rsidRDefault="007570DD" w:rsidP="007570DD">
      <w:pPr>
        <w:spacing w:after="0" w:line="240" w:lineRule="auto"/>
        <w:rPr>
          <w:rFonts w:ascii="Arial" w:hAnsi="Arial" w:cs="Arial"/>
          <w:sz w:val="20"/>
          <w:szCs w:val="20"/>
        </w:rPr>
      </w:pPr>
    </w:p>
    <w:p w14:paraId="0A3390E3" w14:textId="77777777" w:rsidR="007570DD" w:rsidRPr="005756E4" w:rsidRDefault="007570DD" w:rsidP="007570DD">
      <w:pPr>
        <w:spacing w:after="0" w:line="240" w:lineRule="auto"/>
        <w:rPr>
          <w:rFonts w:ascii="Arial" w:hAnsi="Arial" w:cs="Arial"/>
          <w:color w:val="FF0000"/>
          <w:sz w:val="20"/>
          <w:szCs w:val="20"/>
        </w:rPr>
      </w:pPr>
      <w:r w:rsidRPr="003246BE">
        <w:rPr>
          <w:rFonts w:ascii="Arial" w:hAnsi="Arial" w:cs="Arial"/>
          <w:sz w:val="20"/>
          <w:szCs w:val="20"/>
        </w:rPr>
        <w:t xml:space="preserve">RE: Condo policy </w:t>
      </w:r>
      <w:r w:rsidRPr="005756E4">
        <w:rPr>
          <w:rFonts w:ascii="Arial" w:hAnsi="Arial" w:cs="Arial"/>
          <w:color w:val="FF0000"/>
          <w:sz w:val="20"/>
          <w:szCs w:val="20"/>
        </w:rPr>
        <w:t>#</w:t>
      </w:r>
      <w:proofErr w:type="gramStart"/>
      <w:r w:rsidRPr="005756E4">
        <w:rPr>
          <w:rFonts w:ascii="Arial" w:hAnsi="Arial" w:cs="Arial"/>
          <w:color w:val="FF0000"/>
          <w:sz w:val="20"/>
          <w:szCs w:val="20"/>
        </w:rPr>
        <w:t>.....</w:t>
      </w:r>
      <w:proofErr w:type="gramEnd"/>
      <w:r w:rsidRPr="005756E4">
        <w:rPr>
          <w:rFonts w:ascii="Arial" w:hAnsi="Arial" w:cs="Arial"/>
          <w:color w:val="FF0000"/>
          <w:sz w:val="20"/>
          <w:szCs w:val="20"/>
        </w:rPr>
        <w:t xml:space="preserve"> – [address if different]</w:t>
      </w:r>
    </w:p>
    <w:p w14:paraId="774A0BAF" w14:textId="77777777" w:rsidR="007570DD" w:rsidRPr="003246BE" w:rsidRDefault="007570DD" w:rsidP="007570DD">
      <w:pPr>
        <w:rPr>
          <w:rFonts w:ascii="Arial" w:hAnsi="Arial" w:cs="Arial"/>
          <w:sz w:val="20"/>
          <w:szCs w:val="20"/>
        </w:rPr>
      </w:pPr>
    </w:p>
    <w:p w14:paraId="6EAF33C1" w14:textId="77777777" w:rsidR="007570DD" w:rsidRPr="003246BE" w:rsidRDefault="007570DD" w:rsidP="007570DD">
      <w:pPr>
        <w:rPr>
          <w:rFonts w:ascii="Arial" w:hAnsi="Arial" w:cs="Arial"/>
          <w:sz w:val="20"/>
          <w:szCs w:val="20"/>
        </w:rPr>
      </w:pPr>
      <w:r w:rsidRPr="003246BE">
        <w:rPr>
          <w:rFonts w:ascii="Arial" w:hAnsi="Arial" w:cs="Arial"/>
          <w:sz w:val="20"/>
          <w:szCs w:val="20"/>
        </w:rPr>
        <w:t>Dear [name of customer]</w:t>
      </w:r>
    </w:p>
    <w:p w14:paraId="526164A1" w14:textId="77777777" w:rsidR="007570DD" w:rsidRPr="003246BE" w:rsidRDefault="007570DD" w:rsidP="007570DD">
      <w:pPr>
        <w:rPr>
          <w:rFonts w:ascii="Arial" w:hAnsi="Arial" w:cs="Arial"/>
          <w:sz w:val="20"/>
          <w:szCs w:val="20"/>
        </w:rPr>
      </w:pPr>
      <w:r w:rsidRPr="003246BE">
        <w:rPr>
          <w:rFonts w:ascii="Arial" w:hAnsi="Arial" w:cs="Arial"/>
          <w:sz w:val="20"/>
          <w:szCs w:val="20"/>
        </w:rPr>
        <w:t xml:space="preserve">Due to a recent change in the Maryland Condominium law*, you may need to make some changes to your insurance coverage. This is necessary if your unit is </w:t>
      </w:r>
      <w:r w:rsidRPr="003246BE">
        <w:rPr>
          <w:rFonts w:ascii="Arial" w:hAnsi="Arial" w:cs="Arial"/>
          <w:i/>
          <w:iCs/>
          <w:sz w:val="20"/>
          <w:szCs w:val="20"/>
        </w:rPr>
        <w:t>detached</w:t>
      </w:r>
      <w:r w:rsidRPr="003246BE">
        <w:rPr>
          <w:rFonts w:ascii="Arial" w:hAnsi="Arial" w:cs="Arial"/>
          <w:sz w:val="20"/>
          <w:szCs w:val="20"/>
        </w:rPr>
        <w:t xml:space="preserve"> from other buildings, in other words not physically connected horizontally, such as by a common wall, or vertically, such as by a common roof. This only applies if you own the unit under a </w:t>
      </w:r>
      <w:r w:rsidRPr="008520BE">
        <w:rPr>
          <w:rFonts w:ascii="Arial" w:hAnsi="Arial" w:cs="Arial"/>
          <w:b/>
          <w:bCs/>
          <w:i/>
          <w:iCs/>
          <w:sz w:val="20"/>
          <w:szCs w:val="20"/>
        </w:rPr>
        <w:t>condominium</w:t>
      </w:r>
      <w:r w:rsidRPr="003246BE">
        <w:rPr>
          <w:rFonts w:ascii="Arial" w:hAnsi="Arial" w:cs="Arial"/>
          <w:sz w:val="20"/>
          <w:szCs w:val="20"/>
        </w:rPr>
        <w:t xml:space="preserve"> </w:t>
      </w:r>
      <w:r w:rsidRPr="008520BE">
        <w:rPr>
          <w:rFonts w:ascii="Arial" w:hAnsi="Arial" w:cs="Arial"/>
          <w:b/>
          <w:bCs/>
          <w:i/>
          <w:iCs/>
          <w:sz w:val="20"/>
          <w:szCs w:val="20"/>
        </w:rPr>
        <w:t>form of ownership</w:t>
      </w:r>
      <w:r w:rsidRPr="003246BE">
        <w:rPr>
          <w:rFonts w:ascii="Arial" w:hAnsi="Arial" w:cs="Arial"/>
          <w:sz w:val="20"/>
          <w:szCs w:val="20"/>
        </w:rPr>
        <w:t>.</w:t>
      </w:r>
    </w:p>
    <w:p w14:paraId="7D5E5584" w14:textId="77777777" w:rsidR="007570DD" w:rsidRPr="003246BE" w:rsidRDefault="007570DD" w:rsidP="007570DD">
      <w:pPr>
        <w:rPr>
          <w:rFonts w:ascii="Arial" w:hAnsi="Arial" w:cs="Arial"/>
          <w:sz w:val="20"/>
          <w:szCs w:val="20"/>
        </w:rPr>
      </w:pPr>
      <w:r w:rsidRPr="003246BE">
        <w:rPr>
          <w:rFonts w:ascii="Arial" w:hAnsi="Arial" w:cs="Arial"/>
          <w:sz w:val="20"/>
          <w:szCs w:val="20"/>
        </w:rPr>
        <w:t>Why the change? In recent years, some real estate developers have established condominium regimes and built, under these regimes,</w:t>
      </w:r>
      <w:r w:rsidRPr="003246BE">
        <w:rPr>
          <w:rFonts w:ascii="Arial" w:hAnsi="Arial" w:cs="Arial"/>
          <w:b/>
          <w:bCs/>
          <w:sz w:val="20"/>
          <w:szCs w:val="20"/>
        </w:rPr>
        <w:t xml:space="preserve"> single-family homes that are not physically attached to other units</w:t>
      </w:r>
      <w:r w:rsidRPr="003246BE">
        <w:rPr>
          <w:rFonts w:ascii="Arial" w:hAnsi="Arial" w:cs="Arial"/>
          <w:sz w:val="20"/>
          <w:szCs w:val="20"/>
        </w:rPr>
        <w:t xml:space="preserve">. This has led the Maryland legislature to make </w:t>
      </w:r>
      <w:r>
        <w:rPr>
          <w:rFonts w:ascii="Arial" w:hAnsi="Arial" w:cs="Arial"/>
          <w:sz w:val="20"/>
          <w:szCs w:val="20"/>
        </w:rPr>
        <w:t>the following</w:t>
      </w:r>
      <w:r w:rsidRPr="003246BE">
        <w:rPr>
          <w:rFonts w:ascii="Arial" w:hAnsi="Arial" w:cs="Arial"/>
          <w:sz w:val="20"/>
          <w:szCs w:val="20"/>
        </w:rPr>
        <w:t xml:space="preserve"> changes regarding insurance obligations, effective Oct. 1, 2023:</w:t>
      </w:r>
    </w:p>
    <w:p w14:paraId="2703B1C6" w14:textId="77777777" w:rsidR="007570DD" w:rsidRPr="003246BE" w:rsidRDefault="007570DD" w:rsidP="007570DD">
      <w:pPr>
        <w:pStyle w:val="ListParagraph"/>
        <w:numPr>
          <w:ilvl w:val="0"/>
          <w:numId w:val="1"/>
        </w:numPr>
        <w:contextualSpacing w:val="0"/>
        <w:rPr>
          <w:rFonts w:ascii="Arial" w:hAnsi="Arial" w:cs="Arial"/>
          <w:sz w:val="20"/>
          <w:szCs w:val="20"/>
        </w:rPr>
      </w:pPr>
      <w:r w:rsidRPr="003246BE">
        <w:rPr>
          <w:rFonts w:ascii="Arial" w:hAnsi="Arial" w:cs="Arial"/>
          <w:sz w:val="20"/>
          <w:szCs w:val="20"/>
        </w:rPr>
        <w:t xml:space="preserve">When the unit is </w:t>
      </w:r>
      <w:r w:rsidRPr="003246BE">
        <w:rPr>
          <w:rFonts w:ascii="Arial" w:hAnsi="Arial" w:cs="Arial"/>
          <w:b/>
          <w:bCs/>
          <w:i/>
          <w:iCs/>
          <w:sz w:val="20"/>
          <w:szCs w:val="20"/>
        </w:rPr>
        <w:t>attached</w:t>
      </w:r>
      <w:r w:rsidRPr="003246BE">
        <w:rPr>
          <w:rFonts w:ascii="Arial" w:hAnsi="Arial" w:cs="Arial"/>
          <w:sz w:val="20"/>
          <w:szCs w:val="20"/>
        </w:rPr>
        <w:t xml:space="preserve">, condo associations will generally continue to be responsible to </w:t>
      </w:r>
      <w:proofErr w:type="gramStart"/>
      <w:r w:rsidRPr="003246BE">
        <w:rPr>
          <w:rFonts w:ascii="Arial" w:hAnsi="Arial" w:cs="Arial"/>
          <w:sz w:val="20"/>
          <w:szCs w:val="20"/>
        </w:rPr>
        <w:t>insure</w:t>
      </w:r>
      <w:proofErr w:type="gramEnd"/>
      <w:r w:rsidRPr="003246BE">
        <w:rPr>
          <w:rFonts w:ascii="Arial" w:hAnsi="Arial" w:cs="Arial"/>
          <w:sz w:val="20"/>
          <w:szCs w:val="20"/>
        </w:rPr>
        <w:t xml:space="preserve"> the common elements and the units, except improvements to the unit made by unit owners over the years.</w:t>
      </w:r>
    </w:p>
    <w:p w14:paraId="53C7C67B" w14:textId="77777777" w:rsidR="007570DD" w:rsidRPr="003246BE" w:rsidRDefault="007570DD" w:rsidP="007570DD">
      <w:pPr>
        <w:pStyle w:val="ListParagraph"/>
        <w:numPr>
          <w:ilvl w:val="0"/>
          <w:numId w:val="1"/>
        </w:numPr>
        <w:contextualSpacing w:val="0"/>
        <w:rPr>
          <w:rFonts w:ascii="Arial" w:hAnsi="Arial" w:cs="Arial"/>
          <w:sz w:val="20"/>
          <w:szCs w:val="20"/>
        </w:rPr>
      </w:pPr>
      <w:r w:rsidRPr="003246BE">
        <w:rPr>
          <w:rFonts w:ascii="Arial" w:hAnsi="Arial" w:cs="Arial"/>
          <w:sz w:val="20"/>
          <w:szCs w:val="20"/>
        </w:rPr>
        <w:t xml:space="preserve">When the unit is fully </w:t>
      </w:r>
      <w:r w:rsidRPr="003246BE">
        <w:rPr>
          <w:rFonts w:ascii="Arial" w:hAnsi="Arial" w:cs="Arial"/>
          <w:b/>
          <w:bCs/>
          <w:i/>
          <w:iCs/>
          <w:sz w:val="20"/>
          <w:szCs w:val="20"/>
        </w:rPr>
        <w:t>detached</w:t>
      </w:r>
      <w:r w:rsidRPr="003246BE">
        <w:rPr>
          <w:rFonts w:ascii="Arial" w:hAnsi="Arial" w:cs="Arial"/>
          <w:sz w:val="20"/>
          <w:szCs w:val="20"/>
        </w:rPr>
        <w:t xml:space="preserve">, the unit owner will need to insure his or her unit with a full homeowner’s insurance policy </w:t>
      </w:r>
      <w:r w:rsidRPr="005756E4">
        <w:rPr>
          <w:rFonts w:ascii="Arial" w:hAnsi="Arial" w:cs="Arial"/>
          <w:sz w:val="20"/>
          <w:szCs w:val="20"/>
        </w:rPr>
        <w:t>(sometimes called an HO-3) rather than through a traditional condo unit owner policy (often referred to as an HO-6).</w:t>
      </w:r>
      <w:r w:rsidRPr="003246BE">
        <w:rPr>
          <w:rFonts w:ascii="Arial" w:hAnsi="Arial" w:cs="Arial"/>
          <w:sz w:val="20"/>
          <w:szCs w:val="20"/>
        </w:rPr>
        <w:t xml:space="preserve"> This change has significant implications in terms of coverage. Common elements </w:t>
      </w:r>
      <w:r>
        <w:rPr>
          <w:rFonts w:ascii="Arial" w:hAnsi="Arial" w:cs="Arial"/>
          <w:sz w:val="20"/>
          <w:szCs w:val="20"/>
        </w:rPr>
        <w:t>will continue to be</w:t>
      </w:r>
      <w:r w:rsidRPr="003246BE">
        <w:rPr>
          <w:rFonts w:ascii="Arial" w:hAnsi="Arial" w:cs="Arial"/>
          <w:sz w:val="20"/>
          <w:szCs w:val="20"/>
        </w:rPr>
        <w:t xml:space="preserve"> the responsibility of the condo association to insure.</w:t>
      </w:r>
    </w:p>
    <w:p w14:paraId="32163673" w14:textId="77777777" w:rsidR="007570DD" w:rsidRPr="003246BE" w:rsidRDefault="007570DD" w:rsidP="007570DD">
      <w:pPr>
        <w:rPr>
          <w:rFonts w:ascii="Arial" w:hAnsi="Arial" w:cs="Arial"/>
          <w:b/>
          <w:bCs/>
          <w:sz w:val="20"/>
          <w:szCs w:val="20"/>
        </w:rPr>
      </w:pPr>
      <w:r w:rsidRPr="003246BE">
        <w:rPr>
          <w:rFonts w:ascii="Arial" w:hAnsi="Arial" w:cs="Arial"/>
          <w:b/>
          <w:bCs/>
          <w:sz w:val="20"/>
          <w:szCs w:val="20"/>
        </w:rPr>
        <w:t xml:space="preserve">If you are in a </w:t>
      </w:r>
      <w:r w:rsidRPr="003246BE">
        <w:rPr>
          <w:rFonts w:ascii="Arial" w:hAnsi="Arial" w:cs="Arial"/>
          <w:b/>
          <w:bCs/>
          <w:i/>
          <w:iCs/>
          <w:sz w:val="20"/>
          <w:szCs w:val="20"/>
        </w:rPr>
        <w:t>detached</w:t>
      </w:r>
      <w:r w:rsidRPr="003246BE">
        <w:rPr>
          <w:rFonts w:ascii="Arial" w:hAnsi="Arial" w:cs="Arial"/>
          <w:b/>
          <w:bCs/>
          <w:sz w:val="20"/>
          <w:szCs w:val="20"/>
        </w:rPr>
        <w:t xml:space="preserve"> unit under a condominium form of ownership, we ask that you contact our agency without delay </w:t>
      </w:r>
      <w:r w:rsidRPr="005756E4">
        <w:rPr>
          <w:rFonts w:ascii="Arial" w:hAnsi="Arial" w:cs="Arial"/>
          <w:b/>
          <w:bCs/>
          <w:sz w:val="20"/>
          <w:szCs w:val="20"/>
        </w:rPr>
        <w:t xml:space="preserve">at </w:t>
      </w:r>
      <w:r w:rsidRPr="005756E4">
        <w:rPr>
          <w:rFonts w:ascii="Arial" w:hAnsi="Arial" w:cs="Arial"/>
          <w:b/>
          <w:bCs/>
          <w:color w:val="FF0000"/>
          <w:sz w:val="20"/>
          <w:szCs w:val="20"/>
        </w:rPr>
        <w:t xml:space="preserve">[insert phone # or email] </w:t>
      </w:r>
      <w:r w:rsidRPr="003246BE">
        <w:rPr>
          <w:rFonts w:ascii="Arial" w:hAnsi="Arial" w:cs="Arial"/>
          <w:b/>
          <w:bCs/>
          <w:sz w:val="20"/>
          <w:szCs w:val="20"/>
        </w:rPr>
        <w:t xml:space="preserve">so that we may review the coverage with you and consider </w:t>
      </w:r>
      <w:proofErr w:type="gramStart"/>
      <w:r w:rsidRPr="003246BE">
        <w:rPr>
          <w:rFonts w:ascii="Arial" w:hAnsi="Arial" w:cs="Arial"/>
          <w:b/>
          <w:bCs/>
          <w:sz w:val="20"/>
          <w:szCs w:val="20"/>
        </w:rPr>
        <w:t>best</w:t>
      </w:r>
      <w:proofErr w:type="gramEnd"/>
      <w:r w:rsidRPr="003246BE">
        <w:rPr>
          <w:rFonts w:ascii="Arial" w:hAnsi="Arial" w:cs="Arial"/>
          <w:b/>
          <w:bCs/>
          <w:sz w:val="20"/>
          <w:szCs w:val="20"/>
        </w:rPr>
        <w:t xml:space="preserve"> options. </w:t>
      </w:r>
    </w:p>
    <w:p w14:paraId="1933A47C" w14:textId="77777777" w:rsidR="007570DD" w:rsidRPr="003246BE" w:rsidRDefault="007570DD" w:rsidP="007570DD">
      <w:pPr>
        <w:rPr>
          <w:rFonts w:ascii="Arial" w:hAnsi="Arial" w:cs="Arial"/>
          <w:sz w:val="20"/>
          <w:szCs w:val="20"/>
        </w:rPr>
      </w:pPr>
      <w:r w:rsidRPr="003246BE">
        <w:rPr>
          <w:rFonts w:ascii="Arial" w:hAnsi="Arial" w:cs="Arial"/>
          <w:sz w:val="20"/>
          <w:szCs w:val="20"/>
        </w:rPr>
        <w:t>If your condo unit is a townhouse with at least one common wall with your neighbor, this change does not apply to you. If your condo unit is an apartment with other adjoining apartments on the same floor or multiple floors, this change does not apply to you. However, feel free to contact us if you have questions about coverage.</w:t>
      </w:r>
    </w:p>
    <w:p w14:paraId="6D39E031" w14:textId="77777777" w:rsidR="007570DD" w:rsidRPr="003246BE" w:rsidRDefault="007570DD" w:rsidP="007570DD">
      <w:pPr>
        <w:rPr>
          <w:rFonts w:ascii="Arial" w:hAnsi="Arial" w:cs="Arial"/>
          <w:sz w:val="20"/>
          <w:szCs w:val="20"/>
        </w:rPr>
      </w:pPr>
      <w:r w:rsidRPr="003246BE">
        <w:rPr>
          <w:rFonts w:ascii="Arial" w:hAnsi="Arial" w:cs="Arial"/>
          <w:sz w:val="20"/>
          <w:szCs w:val="20"/>
        </w:rPr>
        <w:t>We appreciate your business and thank you for the trust you place in our agency and our staff.</w:t>
      </w:r>
    </w:p>
    <w:p w14:paraId="605AAC03" w14:textId="77777777" w:rsidR="007570DD" w:rsidRPr="003246BE" w:rsidRDefault="007570DD" w:rsidP="007570DD">
      <w:pPr>
        <w:rPr>
          <w:rFonts w:ascii="Arial" w:hAnsi="Arial" w:cs="Arial"/>
          <w:sz w:val="20"/>
          <w:szCs w:val="20"/>
        </w:rPr>
      </w:pPr>
      <w:r w:rsidRPr="003246BE">
        <w:rPr>
          <w:rFonts w:ascii="Arial" w:hAnsi="Arial" w:cs="Arial"/>
          <w:sz w:val="20"/>
          <w:szCs w:val="20"/>
        </w:rPr>
        <w:t>Sincerely,</w:t>
      </w:r>
    </w:p>
    <w:p w14:paraId="1185E4CE" w14:textId="77777777" w:rsidR="007570DD" w:rsidRDefault="007570DD" w:rsidP="007570DD">
      <w:pPr>
        <w:rPr>
          <w:rFonts w:ascii="Arial" w:hAnsi="Arial" w:cs="Arial"/>
          <w:sz w:val="20"/>
          <w:szCs w:val="20"/>
        </w:rPr>
      </w:pPr>
      <w:r w:rsidRPr="003246BE">
        <w:rPr>
          <w:rFonts w:ascii="Arial" w:hAnsi="Arial" w:cs="Arial"/>
          <w:sz w:val="20"/>
          <w:szCs w:val="20"/>
        </w:rPr>
        <w:t>[signature]</w:t>
      </w:r>
    </w:p>
    <w:p w14:paraId="58A77406" w14:textId="77777777" w:rsidR="007570DD" w:rsidRPr="005756E4" w:rsidRDefault="007570DD" w:rsidP="007570DD">
      <w:pPr>
        <w:rPr>
          <w:rFonts w:ascii="Arial" w:hAnsi="Arial" w:cs="Arial"/>
          <w:color w:val="FF0000"/>
          <w:sz w:val="20"/>
          <w:szCs w:val="20"/>
        </w:rPr>
      </w:pPr>
      <w:r w:rsidRPr="005756E4">
        <w:rPr>
          <w:rFonts w:ascii="Arial" w:hAnsi="Arial" w:cs="Arial"/>
          <w:color w:val="FF0000"/>
          <w:sz w:val="20"/>
          <w:szCs w:val="20"/>
        </w:rPr>
        <w:t>[insert Agent name]</w:t>
      </w:r>
    </w:p>
    <w:p w14:paraId="2B1AE512" w14:textId="77777777" w:rsidR="007570DD" w:rsidRPr="003246BE" w:rsidRDefault="007570DD" w:rsidP="007570DD">
      <w:pPr>
        <w:spacing w:after="0"/>
        <w:rPr>
          <w:rFonts w:ascii="Arial" w:hAnsi="Arial" w:cs="Arial"/>
          <w:sz w:val="18"/>
          <w:szCs w:val="18"/>
        </w:rPr>
      </w:pPr>
      <w:r w:rsidRPr="003246BE">
        <w:rPr>
          <w:rFonts w:ascii="Arial" w:hAnsi="Arial" w:cs="Arial"/>
          <w:sz w:val="18"/>
          <w:szCs w:val="18"/>
        </w:rPr>
        <w:t>* See section 11-114 of the Real Property Article</w:t>
      </w:r>
    </w:p>
    <w:p w14:paraId="41D2A3AE" w14:textId="77777777" w:rsidR="007570DD" w:rsidRPr="003246BE" w:rsidRDefault="007570DD" w:rsidP="007570DD">
      <w:pPr>
        <w:spacing w:after="0"/>
        <w:rPr>
          <w:rFonts w:ascii="Arial" w:hAnsi="Arial" w:cs="Arial"/>
          <w:sz w:val="18"/>
          <w:szCs w:val="18"/>
        </w:rPr>
      </w:pPr>
      <w:r w:rsidRPr="003246BE">
        <w:rPr>
          <w:rFonts w:ascii="Arial" w:hAnsi="Arial" w:cs="Arial"/>
          <w:sz w:val="18"/>
          <w:szCs w:val="18"/>
        </w:rPr>
        <w:t>Common elements vary by association but can include green spaces, walkways, club houses, swimming pools, etc.</w:t>
      </w:r>
    </w:p>
    <w:p w14:paraId="7837F21B" w14:textId="77777777" w:rsidR="001F55E1" w:rsidRPr="00C3473F" w:rsidRDefault="001F55E1">
      <w:pPr>
        <w:rPr>
          <w:rFonts w:ascii="Depot New Rg" w:hAnsi="Depot New Rg"/>
        </w:rPr>
      </w:pPr>
    </w:p>
    <w:sectPr w:rsidR="001F55E1" w:rsidRPr="00C3473F" w:rsidSect="0003721D">
      <w:headerReference w:type="even" r:id="rId5"/>
      <w:headerReference w:type="default" r:id="rId6"/>
      <w:footerReference w:type="even" r:id="rId7"/>
      <w:footerReference w:type="default" r:id="rId8"/>
      <w:headerReference w:type="first" r:id="rId9"/>
      <w:footerReference w:type="first" r:id="rId10"/>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ot New Rg">
    <w:altName w:val="Calibri"/>
    <w:panose1 w:val="020B0503000000020004"/>
    <w:charset w:val="00"/>
    <w:family w:val="swiss"/>
    <w:notTrueType/>
    <w:pitch w:val="variable"/>
    <w:sig w:usb0="A00000AF" w:usb1="4000206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DEE5" w14:textId="77777777" w:rsidR="009825A8" w:rsidRDefault="00757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F4BC" w14:textId="77777777" w:rsidR="009825A8" w:rsidRDefault="00757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A18C" w14:textId="77777777" w:rsidR="009825A8" w:rsidRDefault="007570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1045" w14:textId="77777777" w:rsidR="009825A8" w:rsidRDefault="0075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40F1" w14:textId="77777777" w:rsidR="009825A8" w:rsidRDefault="00757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6DFA" w14:textId="77777777" w:rsidR="009825A8" w:rsidRDefault="00757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7FAA"/>
    <w:multiLevelType w:val="hybridMultilevel"/>
    <w:tmpl w:val="589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91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DD"/>
    <w:rsid w:val="001F55E1"/>
    <w:rsid w:val="002D4F26"/>
    <w:rsid w:val="00686F8A"/>
    <w:rsid w:val="007570DD"/>
    <w:rsid w:val="00C3473F"/>
    <w:rsid w:val="00E0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FF08"/>
  <w15:chartTrackingRefBased/>
  <w15:docId w15:val="{3F58BEAC-CC81-4457-9281-A45F3DEF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D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D"/>
    <w:pPr>
      <w:ind w:left="720"/>
      <w:contextualSpacing/>
    </w:pPr>
  </w:style>
  <w:style w:type="paragraph" w:styleId="Header">
    <w:name w:val="header"/>
    <w:basedOn w:val="Normal"/>
    <w:link w:val="HeaderChar"/>
    <w:uiPriority w:val="99"/>
    <w:unhideWhenUsed/>
    <w:rsid w:val="0075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0DD"/>
    <w:rPr>
      <w:sz w:val="22"/>
      <w:szCs w:val="22"/>
    </w:rPr>
  </w:style>
  <w:style w:type="paragraph" w:styleId="Footer">
    <w:name w:val="footer"/>
    <w:basedOn w:val="Normal"/>
    <w:link w:val="FooterChar"/>
    <w:uiPriority w:val="99"/>
    <w:unhideWhenUsed/>
    <w:rsid w:val="0075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0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Org</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 Robison</dc:creator>
  <cp:keywords/>
  <dc:description/>
  <cp:lastModifiedBy>Karen L Robison</cp:lastModifiedBy>
  <cp:revision>1</cp:revision>
  <dcterms:created xsi:type="dcterms:W3CDTF">2023-07-26T13:23:00Z</dcterms:created>
  <dcterms:modified xsi:type="dcterms:W3CDTF">2023-07-26T13:24:00Z</dcterms:modified>
</cp:coreProperties>
</file>